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mentoClaro"/>
        <w:tblpPr w:leftFromText="141" w:rightFromText="141" w:vertAnchor="text" w:horzAnchor="margin" w:tblpXSpec="center" w:tblpY="-9"/>
        <w:tblW w:w="10774" w:type="dxa"/>
        <w:tblLook w:val="04A0" w:firstRow="1" w:lastRow="0" w:firstColumn="1" w:lastColumn="0" w:noHBand="0" w:noVBand="1"/>
      </w:tblPr>
      <w:tblGrid>
        <w:gridCol w:w="2269"/>
        <w:gridCol w:w="2693"/>
        <w:gridCol w:w="4820"/>
        <w:gridCol w:w="992"/>
      </w:tblGrid>
      <w:tr w:rsidR="00B83F23" w:rsidRPr="00D24719" w:rsidTr="007C4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Critérios</w:t>
            </w: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Valores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Regras</w:t>
            </w:r>
            <w:proofErr w:type="gramStart"/>
            <w:r w:rsidRPr="00D24719">
              <w:rPr>
                <w:sz w:val="16"/>
                <w:szCs w:val="16"/>
              </w:rPr>
              <w:t xml:space="preserve">  </w:t>
            </w:r>
            <w:proofErr w:type="gramEnd"/>
            <w:r w:rsidRPr="00D24719">
              <w:rPr>
                <w:sz w:val="16"/>
                <w:szCs w:val="16"/>
              </w:rPr>
              <w:t>para aplicar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Período de latência entre</w:t>
            </w: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início de uso da droga e o dia índice</w:t>
            </w: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Sugestivo +3</w:t>
            </w:r>
          </w:p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5-28 dias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-3 a +3</w:t>
            </w: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Compatível</w:t>
            </w: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+2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29-56 dias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Provável        +1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1-4 dias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Improvável</w:t>
            </w: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&gt;56 dias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Excluído         -3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Início no dia índice ou após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Se reação prévia a mesma droga:</w:t>
            </w:r>
          </w:p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sugestivo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+3 de 1-4 dias</w:t>
            </w:r>
          </w:p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provável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+1  de 5-56 dias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Droga presente no corpo no dia índice</w:t>
            </w: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Definido          </w:t>
            </w: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Droga continuada até o dia índice ou até menos de </w:t>
            </w: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meias-vida de eliminação antes do dia índice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-3 a 0</w:t>
            </w: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Duvidoso        -1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Droga suspensa há mais de </w:t>
            </w: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meias-vida antes do dia índice + alterações de função renal ou hepática ou suspeita de interação medicamentosa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Excluido</w:t>
            </w:r>
            <w:proofErr w:type="spell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         -3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Droga suspensa há mais de </w:t>
            </w: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meias-vida antes do dia índice  sem  alterações de função renal  ou hepática ou suspeita de interação medicamentosa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Exposição prévia/ Reexposição</w:t>
            </w: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Positiva(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mesma  doença ou  droga)                  +4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SSJ/NET após uso</w:t>
            </w:r>
            <w:proofErr w:type="gramStart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da mesma droga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4719">
              <w:rPr>
                <w:rFonts w:ascii="Times New Roman" w:hAnsi="Times New Roman" w:cs="Times New Roman"/>
                <w:sz w:val="16"/>
                <w:szCs w:val="16"/>
              </w:rPr>
              <w:t>-2 a 4</w:t>
            </w: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D24719">
              <w:rPr>
                <w:sz w:val="16"/>
                <w:szCs w:val="16"/>
              </w:rPr>
              <w:t>Positiva(</w:t>
            </w:r>
            <w:proofErr w:type="gramEnd"/>
            <w:r w:rsidRPr="00D24719">
              <w:rPr>
                <w:sz w:val="16"/>
                <w:szCs w:val="16"/>
              </w:rPr>
              <w:t>mesma  doença ou  droga)                    +2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SSJ/NET após uso</w:t>
            </w:r>
            <w:proofErr w:type="gramStart"/>
            <w:r w:rsidRPr="00D24719">
              <w:rPr>
                <w:sz w:val="16"/>
                <w:szCs w:val="16"/>
              </w:rPr>
              <w:t xml:space="preserve">  </w:t>
            </w:r>
            <w:proofErr w:type="gramEnd"/>
            <w:r w:rsidRPr="00D24719">
              <w:rPr>
                <w:sz w:val="16"/>
                <w:szCs w:val="16"/>
              </w:rPr>
              <w:t>de similar ou</w:t>
            </w:r>
          </w:p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D24719">
              <w:rPr>
                <w:sz w:val="16"/>
                <w:szCs w:val="16"/>
              </w:rPr>
              <w:t>outra</w:t>
            </w:r>
            <w:proofErr w:type="gramEnd"/>
            <w:r w:rsidRPr="00D24719">
              <w:rPr>
                <w:sz w:val="16"/>
                <w:szCs w:val="16"/>
              </w:rPr>
              <w:t xml:space="preserve"> reação com a mesma droga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Positiva inespecífica</w:t>
            </w:r>
            <w:proofErr w:type="gramStart"/>
            <w:r w:rsidRPr="00D24719">
              <w:rPr>
                <w:sz w:val="16"/>
                <w:szCs w:val="16"/>
              </w:rPr>
              <w:t xml:space="preserve">  </w:t>
            </w:r>
            <w:proofErr w:type="gramEnd"/>
            <w:r w:rsidRPr="00D24719">
              <w:rPr>
                <w:sz w:val="16"/>
                <w:szCs w:val="16"/>
              </w:rPr>
              <w:t xml:space="preserve">+1 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Outra reação após uso de droga similar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Expos. </w:t>
            </w:r>
            <w:proofErr w:type="gramStart"/>
            <w:r w:rsidRPr="00D24719">
              <w:rPr>
                <w:sz w:val="16"/>
                <w:szCs w:val="16"/>
              </w:rPr>
              <w:t>desconhecida</w:t>
            </w:r>
            <w:proofErr w:type="gramEnd"/>
            <w:r w:rsidRPr="00D24719">
              <w:rPr>
                <w:sz w:val="16"/>
                <w:szCs w:val="16"/>
              </w:rPr>
              <w:t xml:space="preserve">   0 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Nunca</w:t>
            </w:r>
            <w:proofErr w:type="gramStart"/>
            <w:r w:rsidRPr="00D24719">
              <w:rPr>
                <w:sz w:val="16"/>
                <w:szCs w:val="16"/>
              </w:rPr>
              <w:t xml:space="preserve">  </w:t>
            </w:r>
            <w:proofErr w:type="gramEnd"/>
            <w:r w:rsidRPr="00D24719">
              <w:rPr>
                <w:sz w:val="16"/>
                <w:szCs w:val="16"/>
              </w:rPr>
              <w:t xml:space="preserve">utilizou a droga  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Negativa                         -2 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Expos. </w:t>
            </w:r>
            <w:proofErr w:type="gramStart"/>
            <w:r w:rsidRPr="00D24719">
              <w:rPr>
                <w:sz w:val="16"/>
                <w:szCs w:val="16"/>
              </w:rPr>
              <w:t>a</w:t>
            </w:r>
            <w:proofErr w:type="gramEnd"/>
            <w:r w:rsidRPr="00D24719">
              <w:rPr>
                <w:sz w:val="16"/>
                <w:szCs w:val="16"/>
              </w:rPr>
              <w:t xml:space="preserve"> droga antes ou depois sem reações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Suspensão da droga </w:t>
            </w: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Neutra</w:t>
            </w:r>
            <w:proofErr w:type="gramStart"/>
            <w:r w:rsidRPr="00D24719">
              <w:rPr>
                <w:sz w:val="16"/>
                <w:szCs w:val="16"/>
              </w:rPr>
              <w:t xml:space="preserve">  </w:t>
            </w:r>
            <w:proofErr w:type="gramEnd"/>
            <w:r w:rsidRPr="00D24719">
              <w:rPr>
                <w:sz w:val="16"/>
                <w:szCs w:val="16"/>
              </w:rPr>
              <w:t>0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Droga suspensa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-2 a 0 </w:t>
            </w: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Negativa -2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Droga mantida sem piora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Notoriedade da droga </w:t>
            </w: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  Fortemente associada +3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Droga de alto risco (estudos caso-controle)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-1 a 3 </w:t>
            </w: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   Associada                       +2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Droga com risco baixo/bem definido (caso controle)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   Suspeita                          +1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Droga sob vigilância </w:t>
            </w:r>
            <w:proofErr w:type="gramStart"/>
            <w:r w:rsidRPr="00D24719">
              <w:rPr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D24719">
              <w:rPr>
                <w:sz w:val="16"/>
                <w:szCs w:val="16"/>
              </w:rPr>
              <w:t>epidemiiologia</w:t>
            </w:r>
            <w:proofErr w:type="spellEnd"/>
            <w:r w:rsidRPr="00D24719">
              <w:rPr>
                <w:sz w:val="16"/>
                <w:szCs w:val="16"/>
              </w:rPr>
              <w:t xml:space="preserve"> ambígua / vários relatos prévios)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   Desconhecida                 -1 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Todas as outras drogas incluindo as novas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   Não suspeita                    </w:t>
            </w:r>
            <w:proofErr w:type="gramStart"/>
            <w:r w:rsidRPr="00D24719">
              <w:rPr>
                <w:sz w:val="16"/>
                <w:szCs w:val="16"/>
              </w:rPr>
              <w:t>0</w:t>
            </w:r>
            <w:proofErr w:type="gramEnd"/>
            <w:r w:rsidRPr="00D247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Sem </w:t>
            </w:r>
            <w:proofErr w:type="spellStart"/>
            <w:r w:rsidRPr="00D24719">
              <w:rPr>
                <w:sz w:val="16"/>
                <w:szCs w:val="16"/>
              </w:rPr>
              <w:t>nehuma</w:t>
            </w:r>
            <w:proofErr w:type="spellEnd"/>
            <w:r w:rsidRPr="00D24719">
              <w:rPr>
                <w:sz w:val="16"/>
                <w:szCs w:val="16"/>
              </w:rPr>
              <w:t xml:space="preserve"> evidência de associação em estudos epidemiológicos prévios com número suficiente de controles expostos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24719">
              <w:rPr>
                <w:b/>
                <w:sz w:val="16"/>
                <w:szCs w:val="16"/>
              </w:rPr>
              <w:t>ESCORE INTERMEDIÁRIO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24719">
              <w:rPr>
                <w:b/>
                <w:sz w:val="16"/>
                <w:szCs w:val="16"/>
              </w:rPr>
              <w:t xml:space="preserve">Total de todos os critérios prévios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-11 a 10 </w:t>
            </w:r>
          </w:p>
        </w:tc>
      </w:tr>
      <w:tr w:rsidR="00B83F23" w:rsidRPr="00D24719" w:rsidTr="007C4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Outra causa </w:t>
            </w: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 xml:space="preserve">Possível                              -1 </w:t>
            </w: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24719">
              <w:rPr>
                <w:sz w:val="16"/>
                <w:szCs w:val="16"/>
              </w:rPr>
              <w:t>Rankear</w:t>
            </w:r>
            <w:proofErr w:type="spellEnd"/>
            <w:r w:rsidRPr="00D24719">
              <w:rPr>
                <w:sz w:val="16"/>
                <w:szCs w:val="16"/>
              </w:rPr>
              <w:t xml:space="preserve"> todas as outras drogas do maior para o menor escore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24719">
              <w:rPr>
                <w:sz w:val="16"/>
                <w:szCs w:val="16"/>
              </w:rPr>
              <w:t>Se</w:t>
            </w:r>
            <w:proofErr w:type="gramStart"/>
            <w:r w:rsidRPr="00D24719">
              <w:rPr>
                <w:sz w:val="16"/>
                <w:szCs w:val="16"/>
              </w:rPr>
              <w:t xml:space="preserve">  </w:t>
            </w:r>
            <w:proofErr w:type="gramEnd"/>
            <w:r w:rsidRPr="00D24719">
              <w:rPr>
                <w:sz w:val="16"/>
                <w:szCs w:val="16"/>
              </w:rPr>
              <w:t xml:space="preserve">pelo menos uma droga apresentar escore &gt; 3 subtrair 1 ponto das outras drogas utilizadas pelo paciente (outra causa é mais provável) </w:t>
            </w: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3F23" w:rsidRPr="00D24719" w:rsidTr="007C4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:rsidR="00B83F23" w:rsidRPr="00D24719" w:rsidRDefault="00B83F23" w:rsidP="00AE2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83F23" w:rsidRPr="00D24719" w:rsidRDefault="00B83F23" w:rsidP="00AE2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4A132F" w:rsidRDefault="00BF1F7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16EAA" wp14:editId="466F3750">
                <wp:simplePos x="0" y="0"/>
                <wp:positionH relativeFrom="column">
                  <wp:posOffset>-833755</wp:posOffset>
                </wp:positionH>
                <wp:positionV relativeFrom="paragraph">
                  <wp:posOffset>7901305</wp:posOffset>
                </wp:positionV>
                <wp:extent cx="6900545" cy="635635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545" cy="635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F23" w:rsidRPr="00B83F23" w:rsidRDefault="00BF1F75" w:rsidP="00B83F23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ESCORE FINAL –12 a</w:t>
                            </w:r>
                            <w:r w:rsidR="00B83F23" w:rsidRPr="00B83F23">
                              <w:rPr>
                                <w:rFonts w:ascii="Arial Narrow" w:hAnsi="Arial Narrow"/>
                                <w:b/>
                              </w:rPr>
                              <w:t xml:space="preserve"> 10 </w:t>
                            </w:r>
                          </w:p>
                          <w:p w:rsidR="00B83F23" w:rsidRDefault="00B83F23" w:rsidP="00B83F23">
                            <w:pPr>
                              <w:spacing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B83F23">
                              <w:rPr>
                                <w:rFonts w:ascii="Arial Narrow" w:hAnsi="Arial Narrow"/>
                              </w:rPr>
                              <w:t>MUITO IMPROVÁVEL &lt;</w:t>
                            </w:r>
                            <w:proofErr w:type="gramStart"/>
                            <w:r w:rsidRPr="00B83F2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BF1F75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End"/>
                            <w:r w:rsidRPr="00B83F23">
                              <w:rPr>
                                <w:rFonts w:ascii="Arial Narrow" w:hAnsi="Arial Narrow"/>
                              </w:rPr>
                              <w:t xml:space="preserve">0;IMPROVÁVEL 0-1; 2-3 POSSÍVEL; 4-5 PROVÁVEL; MUITO PROVÁVEL  </w:t>
                            </w:r>
                            <w:r w:rsidRPr="00B83F23">
                              <w:rPr>
                                <w:rFonts w:ascii="Arial Narrow" w:hAnsi="Arial Narrow" w:cstheme="minorHAnsi"/>
                              </w:rPr>
                              <w:t>≥</w:t>
                            </w:r>
                            <w:r w:rsidRPr="00B83F23">
                              <w:rPr>
                                <w:rFonts w:ascii="Arial Narrow" w:hAnsi="Arial Narrow"/>
                              </w:rPr>
                              <w:t xml:space="preserve">6 </w:t>
                            </w:r>
                          </w:p>
                          <w:p w:rsidR="00BF1F75" w:rsidRDefault="00BF1F75" w:rsidP="00B83F23">
                            <w:pPr>
                              <w:spacing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BF1F75" w:rsidRPr="00B83F23" w:rsidRDefault="00BF1F75" w:rsidP="00B83F23">
                            <w:pPr>
                              <w:spacing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" o:spid="_x0000_s1026" style="position:absolute;margin-left:-65.65pt;margin-top:622.15pt;width:543.35pt;height:5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" fillcolor="white [3201]" stroked="f" strokeweight="2pt">
                <v:textbox>
                  <w:txbxContent>
                    <w:p w:rsidR="00B83F23" w:rsidRPr="00B83F23" w:rsidRDefault="00BF1F75" w:rsidP="00B83F23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ESCORE FINAL –12 a</w:t>
                      </w:r>
                      <w:r w:rsidR="00B83F23" w:rsidRPr="00B83F23">
                        <w:rPr>
                          <w:rFonts w:ascii="Arial Narrow" w:hAnsi="Arial Narrow"/>
                          <w:b/>
                        </w:rPr>
                        <w:t xml:space="preserve"> 10 </w:t>
                      </w:r>
                    </w:p>
                    <w:p w:rsidR="00B83F23" w:rsidRDefault="00B83F23" w:rsidP="00B83F23">
                      <w:pPr>
                        <w:spacing w:line="240" w:lineRule="auto"/>
                        <w:rPr>
                          <w:rFonts w:ascii="Arial Narrow" w:hAnsi="Arial Narrow"/>
                        </w:rPr>
                      </w:pPr>
                      <w:r w:rsidRPr="00B83F23">
                        <w:rPr>
                          <w:rFonts w:ascii="Arial Narrow" w:hAnsi="Arial Narrow"/>
                        </w:rPr>
                        <w:t>MUITO IMPROVÁVEL &lt;</w:t>
                      </w:r>
                      <w:proofErr w:type="gramStart"/>
                      <w:r w:rsidRPr="00B83F23">
                        <w:rPr>
                          <w:rFonts w:ascii="Arial Narrow" w:hAnsi="Arial Narrow"/>
                        </w:rPr>
                        <w:t xml:space="preserve"> </w:t>
                      </w:r>
                      <w:r w:rsidR="00BF1F75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End"/>
                      <w:r w:rsidRPr="00B83F23">
                        <w:rPr>
                          <w:rFonts w:ascii="Arial Narrow" w:hAnsi="Arial Narrow"/>
                        </w:rPr>
                        <w:t xml:space="preserve">0;IMPROVÁVEL 0-1; 2-3 POSSÍVEL; 4-5 PROVÁVEL; MUITO PROVÁVEL  </w:t>
                      </w:r>
                      <w:r w:rsidRPr="00B83F23">
                        <w:rPr>
                          <w:rFonts w:ascii="Arial Narrow" w:hAnsi="Arial Narrow" w:cstheme="minorHAnsi"/>
                        </w:rPr>
                        <w:t>≥</w:t>
                      </w:r>
                      <w:r w:rsidRPr="00B83F23">
                        <w:rPr>
                          <w:rFonts w:ascii="Arial Narrow" w:hAnsi="Arial Narrow"/>
                        </w:rPr>
                        <w:t xml:space="preserve">6 </w:t>
                      </w:r>
                    </w:p>
                    <w:p w:rsidR="00BF1F75" w:rsidRDefault="00BF1F75" w:rsidP="00B83F23">
                      <w:pPr>
                        <w:spacing w:line="240" w:lineRule="auto"/>
                        <w:rPr>
                          <w:rFonts w:ascii="Arial Narrow" w:hAnsi="Arial Narrow"/>
                        </w:rPr>
                      </w:pPr>
                    </w:p>
                    <w:p w:rsidR="00BF1F75" w:rsidRPr="00B83F23" w:rsidRDefault="00BF1F75" w:rsidP="00B83F23">
                      <w:pPr>
                        <w:spacing w:line="240" w:lineRule="auto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Sassolas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B, Haddad C,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Mockenhaupt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Dunant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Liss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Bork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Haustein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UF,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Vieluf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Roujeau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JC, Le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Louet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H. ALDEN,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algorithm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assessment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drug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causality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Stevens–Johnson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syndrome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toxic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epidermal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necrolysis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comparison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case–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control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analysis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Clinical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Pharmacology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&amp; </w:t>
      </w:r>
      <w:bookmarkStart w:id="0" w:name="_GoBack"/>
      <w:bookmarkEnd w:id="0"/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Therapeutics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2010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Jul;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88(1):60-8.</w:t>
      </w:r>
    </w:p>
    <w:sectPr w:rsidR="004A13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04" w:rsidRDefault="00603304" w:rsidP="00BF1F75">
      <w:pPr>
        <w:spacing w:after="0" w:line="240" w:lineRule="auto"/>
      </w:pPr>
      <w:r>
        <w:separator/>
      </w:r>
    </w:p>
  </w:endnote>
  <w:endnote w:type="continuationSeparator" w:id="0">
    <w:p w:rsidR="00603304" w:rsidRDefault="00603304" w:rsidP="00BF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04" w:rsidRDefault="00603304" w:rsidP="00BF1F75">
      <w:pPr>
        <w:spacing w:after="0" w:line="240" w:lineRule="auto"/>
      </w:pPr>
      <w:r>
        <w:separator/>
      </w:r>
    </w:p>
  </w:footnote>
  <w:footnote w:type="continuationSeparator" w:id="0">
    <w:p w:rsidR="00603304" w:rsidRDefault="00603304" w:rsidP="00BF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75" w:rsidRPr="00175B71" w:rsidRDefault="00BF1F75" w:rsidP="00BF1F75">
    <w:pPr>
      <w:rPr>
        <w:rFonts w:ascii="Arial Narrow" w:hAnsi="Arial Narrow"/>
        <w:b/>
        <w:i/>
      </w:rPr>
    </w:pPr>
    <w:r w:rsidRPr="00175B71">
      <w:rPr>
        <w:rFonts w:ascii="Arial Narrow" w:hAnsi="Arial Narrow"/>
        <w:b/>
        <w:i/>
      </w:rPr>
      <w:t xml:space="preserve">ALGORITHM OF DRUG CAUSALITY FOR EPIDERMAL NECROLYSIS (ALDEN) </w:t>
    </w:r>
  </w:p>
  <w:p w:rsidR="00BF1F75" w:rsidRDefault="00BF1F75">
    <w:pPr>
      <w:pStyle w:val="Cabealho"/>
    </w:pPr>
  </w:p>
  <w:p w:rsidR="00BF1F75" w:rsidRDefault="00BF1F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3"/>
    <w:rsid w:val="00103046"/>
    <w:rsid w:val="00175B71"/>
    <w:rsid w:val="001C4F47"/>
    <w:rsid w:val="00375586"/>
    <w:rsid w:val="004A132F"/>
    <w:rsid w:val="00603304"/>
    <w:rsid w:val="007C4A2D"/>
    <w:rsid w:val="00AA7C6D"/>
    <w:rsid w:val="00AB06F1"/>
    <w:rsid w:val="00AD2714"/>
    <w:rsid w:val="00B74AE0"/>
    <w:rsid w:val="00B83F23"/>
    <w:rsid w:val="00BF1F75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B83F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BF1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F75"/>
  </w:style>
  <w:style w:type="paragraph" w:styleId="Rodap">
    <w:name w:val="footer"/>
    <w:basedOn w:val="Normal"/>
    <w:link w:val="RodapChar"/>
    <w:uiPriority w:val="99"/>
    <w:unhideWhenUsed/>
    <w:rsid w:val="00BF1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F75"/>
  </w:style>
  <w:style w:type="paragraph" w:styleId="Textodebalo">
    <w:name w:val="Balloon Text"/>
    <w:basedOn w:val="Normal"/>
    <w:link w:val="TextodebaloChar"/>
    <w:uiPriority w:val="99"/>
    <w:semiHidden/>
    <w:unhideWhenUsed/>
    <w:rsid w:val="00BF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B83F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BF1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F75"/>
  </w:style>
  <w:style w:type="paragraph" w:styleId="Rodap">
    <w:name w:val="footer"/>
    <w:basedOn w:val="Normal"/>
    <w:link w:val="RodapChar"/>
    <w:uiPriority w:val="99"/>
    <w:unhideWhenUsed/>
    <w:rsid w:val="00BF1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F75"/>
  </w:style>
  <w:style w:type="paragraph" w:styleId="Textodebalo">
    <w:name w:val="Balloon Text"/>
    <w:basedOn w:val="Normal"/>
    <w:link w:val="TextodebaloChar"/>
    <w:uiPriority w:val="99"/>
    <w:semiHidden/>
    <w:unhideWhenUsed/>
    <w:rsid w:val="00BF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4</cp:revision>
  <dcterms:created xsi:type="dcterms:W3CDTF">2025-08-18T20:27:00Z</dcterms:created>
  <dcterms:modified xsi:type="dcterms:W3CDTF">2026-02-21T22:12:00Z</dcterms:modified>
</cp:coreProperties>
</file>